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88" w:rsidRPr="00B96AF1" w:rsidRDefault="00F920EC">
      <w:pPr>
        <w:pStyle w:val="Ttulo"/>
        <w:jc w:val="center"/>
        <w:rPr>
          <w:rFonts w:ascii="Oswald" w:hAnsi="Oswald"/>
          <w:u w:val="single"/>
        </w:rPr>
      </w:pPr>
      <w:bookmarkStart w:id="0" w:name="_yimo4x5vu5w" w:colFirst="0" w:colLast="0"/>
      <w:bookmarkEnd w:id="0"/>
      <w:r w:rsidRPr="00B96AF1">
        <w:rPr>
          <w:rFonts w:ascii="Oswald" w:hAnsi="Oswald"/>
          <w:u w:val="single"/>
        </w:rPr>
        <w:t>CURRÍCULUM VITAE</w:t>
      </w:r>
    </w:p>
    <w:p w:rsidR="003C3588" w:rsidRDefault="00F920EC">
      <w:pPr>
        <w:pStyle w:val="Ttulo1"/>
      </w:pPr>
      <w:bookmarkStart w:id="1" w:name="_9gvrsn9rd1mu" w:colFirst="0" w:colLast="0"/>
      <w:bookmarkEnd w:id="1"/>
      <w:r>
        <w:t>DATOS PERSONALES</w:t>
      </w:r>
    </w:p>
    <w:p w:rsidR="003C3588" w:rsidRDefault="003C3588"/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Apellido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Nombre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Fecha de nacimiento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E2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DNI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rPr>
          <w:trHeight w:val="400"/>
        </w:trPr>
        <w:tc>
          <w:tcPr>
            <w:tcW w:w="9000" w:type="dxa"/>
            <w:gridSpan w:val="2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Dirección residencial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Teléfono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Correo electrónico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rPr>
          <w:trHeight w:val="400"/>
        </w:trPr>
        <w:tc>
          <w:tcPr>
            <w:tcW w:w="9000" w:type="dxa"/>
            <w:gridSpan w:val="2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Experticia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Lugar de trabajo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</w:tbl>
    <w:p w:rsidR="003C3588" w:rsidRDefault="003C3588"/>
    <w:p w:rsidR="003C3588" w:rsidRDefault="00F920EC">
      <w:pPr>
        <w:pStyle w:val="Ttulo1"/>
      </w:pPr>
      <w:bookmarkStart w:id="2" w:name="_2elfygi63f4n" w:colFirst="0" w:colLast="0"/>
      <w:bookmarkEnd w:id="2"/>
      <w:r>
        <w:br w:type="page"/>
      </w:r>
    </w:p>
    <w:p w:rsidR="003C3588" w:rsidRDefault="00F920EC">
      <w:pPr>
        <w:pStyle w:val="Ttulo1"/>
      </w:pPr>
      <w:bookmarkStart w:id="3" w:name="_f00fg2sj81po" w:colFirst="0" w:colLast="0"/>
      <w:bookmarkEnd w:id="3"/>
      <w:r>
        <w:lastRenderedPageBreak/>
        <w:t>FORMACIÓN ACADÉMICA</w:t>
      </w:r>
    </w:p>
    <w:p w:rsidR="003C3588" w:rsidRDefault="003C358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 incluyen:</w:t>
            </w:r>
          </w:p>
          <w:p w:rsidR="003C3588" w:rsidRPr="00B96AF1" w:rsidRDefault="00F920EC">
            <w:pPr>
              <w:numPr>
                <w:ilvl w:val="0"/>
                <w:numId w:val="1"/>
              </w:numPr>
              <w:spacing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Nivel universitario de posgrado/doctorado</w:t>
            </w:r>
          </w:p>
          <w:p w:rsidR="003C3588" w:rsidRPr="00B96AF1" w:rsidRDefault="00F920EC">
            <w:pPr>
              <w:numPr>
                <w:ilvl w:val="0"/>
                <w:numId w:val="1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Nivel universitario de posgrado/maestría</w:t>
            </w:r>
          </w:p>
          <w:p w:rsidR="003C3588" w:rsidRPr="00B96AF1" w:rsidRDefault="00F920EC">
            <w:pPr>
              <w:numPr>
                <w:ilvl w:val="0"/>
                <w:numId w:val="1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Nivel universitario de posgrado/especialización</w:t>
            </w:r>
          </w:p>
          <w:p w:rsidR="003C3588" w:rsidRPr="00B96AF1" w:rsidRDefault="00F920EC">
            <w:pPr>
              <w:numPr>
                <w:ilvl w:val="0"/>
                <w:numId w:val="1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Nivel universitario de grado</w:t>
            </w:r>
          </w:p>
          <w:p w:rsidR="003C3588" w:rsidRPr="00B96AF1" w:rsidRDefault="00F920EC" w:rsidP="00E27C92">
            <w:pPr>
              <w:numPr>
                <w:ilvl w:val="0"/>
                <w:numId w:val="1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Nivel terciario no universitario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Título alcanzado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Institución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Año de finalización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Título alcanzado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Institución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Año de finalización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Título alcanzado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Institución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Año de finalización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tbl>
      <w:tblPr>
        <w:tblStyle w:val="a4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Título alcanzado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Institución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  <w:tr w:rsidR="003C3588" w:rsidRPr="00B96AF1">
        <w:tc>
          <w:tcPr>
            <w:tcW w:w="282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Año de finalización</w:t>
            </w:r>
          </w:p>
        </w:tc>
        <w:tc>
          <w:tcPr>
            <w:tcW w:w="61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3C3588">
            <w:pPr>
              <w:widowControl w:val="0"/>
              <w:spacing w:before="0" w:line="240" w:lineRule="auto"/>
              <w:jc w:val="left"/>
              <w:rPr>
                <w:rFonts w:ascii="Baskervville" w:hAnsi="Baskervville"/>
              </w:rPr>
            </w:pP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F920EC">
      <w:pPr>
        <w:pStyle w:val="Ttulo1"/>
      </w:pPr>
      <w:bookmarkStart w:id="4" w:name="_4xxfq9jnqxkd" w:colFirst="0" w:colLast="0"/>
      <w:bookmarkEnd w:id="4"/>
      <w:r>
        <w:br w:type="page"/>
      </w:r>
    </w:p>
    <w:p w:rsidR="003C3588" w:rsidRDefault="00F920EC">
      <w:pPr>
        <w:pStyle w:val="Ttulo1"/>
      </w:pPr>
      <w:bookmarkStart w:id="5" w:name="_ubg3dmxeofjf" w:colFirst="0" w:colLast="0"/>
      <w:bookmarkEnd w:id="5"/>
      <w:r>
        <w:lastRenderedPageBreak/>
        <w:t>FORMACIÓN COMPLEMENTARIA</w:t>
      </w:r>
    </w:p>
    <w:p w:rsidR="003C3588" w:rsidRDefault="003C3588">
      <w:pPr>
        <w:spacing w:line="240" w:lineRule="auto"/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categorías incluyen: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Especialidad certificada otorgada por organismo/s de salud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Posdoctorado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Cursos de posgrado y/o capacitaciones extracurriculares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Idiomas</w:t>
            </w:r>
          </w:p>
        </w:tc>
      </w:tr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Formato:</w:t>
            </w:r>
          </w:p>
          <w:p w:rsidR="003C3588" w:rsidRPr="00B96AF1" w:rsidRDefault="00F920EC">
            <w:pPr>
              <w:spacing w:before="0"/>
              <w:rPr>
                <w:rFonts w:ascii="Baskervville" w:hAnsi="Baskervville"/>
                <w:i/>
              </w:rPr>
            </w:pPr>
            <w:r w:rsidRPr="00B96AF1">
              <w:rPr>
                <w:rFonts w:ascii="Baskervville" w:hAnsi="Baskervville"/>
                <w:b/>
              </w:rPr>
              <w:t xml:space="preserve">Año de inicio-Año de finalización </w:t>
            </w:r>
            <w:r w:rsidRPr="00B96AF1">
              <w:rPr>
                <w:rFonts w:ascii="Baskervville" w:hAnsi="Baskervville"/>
              </w:rPr>
              <w:t>Tipo de curso: “Título del seminario”. Nombre del dictante. Institución. Car</w:t>
            </w:r>
            <w:r w:rsidRPr="00B96AF1">
              <w:rPr>
                <w:rFonts w:ascii="Baskervville" w:hAnsi="Baskervville"/>
              </w:rPr>
              <w:t>ga horaria.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F920EC">
      <w:pPr>
        <w:pStyle w:val="Ttulo1"/>
      </w:pPr>
      <w:bookmarkStart w:id="6" w:name="_29lrgx7l9vp4" w:colFirst="0" w:colLast="0"/>
      <w:bookmarkEnd w:id="6"/>
      <w:r>
        <w:br w:type="page"/>
      </w:r>
    </w:p>
    <w:p w:rsidR="003C3588" w:rsidRDefault="00F920EC">
      <w:pPr>
        <w:pStyle w:val="Ttulo1"/>
      </w:pPr>
      <w:bookmarkStart w:id="7" w:name="_ssrkok6l9xps" w:colFirst="0" w:colLast="0"/>
      <w:bookmarkEnd w:id="7"/>
      <w:r>
        <w:lastRenderedPageBreak/>
        <w:t>CARGOS</w:t>
      </w:r>
    </w:p>
    <w:p w:rsidR="003C3588" w:rsidRDefault="003C3588">
      <w:pPr>
        <w:spacing w:line="240" w:lineRule="auto"/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categorías incluyen: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Docencia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Nivel superior universitario y/o posgrado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Nivel terciario no universitario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Nivel básico y/o medio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Cursos de posgrado y capacitaciones extracurriculares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Cargos en gestión institucional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Cargos I+D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Cargos en organismos científicos-tecnológicos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Cargos de I+D en otro tipo de instituciones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Otros cargos</w:t>
            </w:r>
          </w:p>
        </w:tc>
      </w:tr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Formato:</w:t>
            </w:r>
          </w:p>
          <w:p w:rsidR="003C3588" w:rsidRPr="00B96AF1" w:rsidRDefault="00F920EC">
            <w:pPr>
              <w:spacing w:before="0"/>
              <w:rPr>
                <w:rFonts w:ascii="Baskervville" w:hAnsi="Baskervville"/>
                <w:i/>
              </w:rPr>
            </w:pPr>
            <w:r w:rsidRPr="00B96AF1">
              <w:rPr>
                <w:rFonts w:ascii="Baskervville" w:hAnsi="Baskervville"/>
                <w:b/>
              </w:rPr>
              <w:t xml:space="preserve">Fecha de inicio-Fecha de finalización </w:t>
            </w:r>
            <w:r w:rsidRPr="00B96AF1">
              <w:rPr>
                <w:rFonts w:ascii="Baskervville" w:hAnsi="Baskervville"/>
              </w:rPr>
              <w:t xml:space="preserve">Tipo de cargo (dedicación). Institución. 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F920EC">
      <w:pPr>
        <w:pStyle w:val="Ttulo1"/>
      </w:pPr>
      <w:bookmarkStart w:id="8" w:name="_c1cj7y93sfd0" w:colFirst="0" w:colLast="0"/>
      <w:bookmarkEnd w:id="8"/>
      <w:r>
        <w:br w:type="page"/>
      </w:r>
    </w:p>
    <w:p w:rsidR="003C3588" w:rsidRDefault="00F920EC">
      <w:pPr>
        <w:pStyle w:val="Ttulo1"/>
      </w:pPr>
      <w:bookmarkStart w:id="9" w:name="_idzatkcujay4" w:colFirst="0" w:colLast="0"/>
      <w:bookmarkEnd w:id="9"/>
      <w:r>
        <w:lastRenderedPageBreak/>
        <w:t>ANTECEDENTES EN CYT</w:t>
      </w:r>
    </w:p>
    <w:p w:rsidR="003C3588" w:rsidRDefault="003C3588">
      <w:pPr>
        <w:spacing w:line="240" w:lineRule="auto"/>
      </w:pP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categorías incluyen: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Formación de recursos humanos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Becarios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proofErr w:type="spellStart"/>
            <w:r w:rsidRPr="00B96AF1">
              <w:rPr>
                <w:rFonts w:ascii="Baskervville" w:hAnsi="Baskervville"/>
              </w:rPr>
              <w:t>Tesistas</w:t>
            </w:r>
            <w:proofErr w:type="spellEnd"/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Investigadores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Pasantes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Personal de apoyo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Extensión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Actividades de divulgación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Extensión rural y/o industrial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Prestación de servicios sociales y/o comunitarios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Producción y/o divulgación artística-cultural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Otro tipo de actividad de extensión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Evaluación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Evaluación de personal, jurado de tesis y/o premios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Evaluación de programas/proyectos de I+D y/o de extensión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Eva</w:t>
            </w:r>
            <w:r w:rsidRPr="00B96AF1">
              <w:rPr>
                <w:rFonts w:ascii="Baskervville" w:hAnsi="Baskervville"/>
              </w:rPr>
              <w:t>luación de trabajos en revistas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Evaluación institucional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Otro tipo de evaluación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Becas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Otro tipo de actividades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Estancias y pasantías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Ejercicio de la profesión en ámbitos no académicos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Otro tipo de actividades</w:t>
            </w:r>
          </w:p>
        </w:tc>
      </w:tr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Formato:</w:t>
            </w:r>
          </w:p>
          <w:p w:rsidR="003C3588" w:rsidRPr="00B96AF1" w:rsidRDefault="00F920EC">
            <w:pPr>
              <w:rPr>
                <w:rFonts w:ascii="Baskervville" w:hAnsi="Baskervville"/>
                <w:b/>
              </w:rPr>
            </w:pPr>
            <w:r w:rsidRPr="00B96AF1">
              <w:rPr>
                <w:rFonts w:ascii="Baskervville" w:hAnsi="Baskervville"/>
                <w:b/>
              </w:rPr>
              <w:t xml:space="preserve">Fecha de inicio-Fecha de finalización </w:t>
            </w:r>
          </w:p>
          <w:p w:rsidR="003C3588" w:rsidRPr="00B96AF1" w:rsidRDefault="00F920EC">
            <w:pPr>
              <w:rPr>
                <w:rFonts w:ascii="Baskervville" w:hAnsi="Baskervville"/>
                <w:b/>
              </w:rPr>
            </w:pPr>
            <w:r w:rsidRPr="00B96AF1">
              <w:rPr>
                <w:rFonts w:ascii="Baskervville" w:hAnsi="Baskervville"/>
              </w:rPr>
              <w:t>Rol desempeñado (dedicación) Institución.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F920EC">
      <w:pPr>
        <w:pStyle w:val="Ttulo1"/>
      </w:pPr>
      <w:bookmarkStart w:id="10" w:name="_hw3xjbvnyfgi" w:colFirst="0" w:colLast="0"/>
      <w:bookmarkEnd w:id="10"/>
      <w:r>
        <w:br w:type="page"/>
      </w:r>
    </w:p>
    <w:p w:rsidR="003C3588" w:rsidRDefault="00F920EC">
      <w:pPr>
        <w:pStyle w:val="Ttulo1"/>
      </w:pPr>
      <w:bookmarkStart w:id="11" w:name="_8ro7jrt223ev" w:colFirst="0" w:colLast="0"/>
      <w:bookmarkEnd w:id="11"/>
      <w:r>
        <w:lastRenderedPageBreak/>
        <w:t>PRODUCCIÓN</w:t>
      </w:r>
    </w:p>
    <w:p w:rsidR="003C3588" w:rsidRDefault="003C3588">
      <w:pPr>
        <w:spacing w:line="240" w:lineRule="auto"/>
      </w:pP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categorías incluyen: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Producción científica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Artículos publicados en revistas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Libros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Partes de libros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Trabajos en eventos C-T publicados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Trabajos en eventos C-T no publicados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Tesis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Otros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Producción artística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Musical-sonora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Visual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 xml:space="preserve">Audiovisual </w:t>
            </w:r>
            <w:proofErr w:type="spellStart"/>
            <w:r w:rsidRPr="00B96AF1">
              <w:rPr>
                <w:rFonts w:ascii="Baskervville" w:hAnsi="Baskervville"/>
              </w:rPr>
              <w:t>multimedial</w:t>
            </w:r>
            <w:proofErr w:type="spellEnd"/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Corporal teatral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Género literario narrativo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Género literario dramático, poético o ensay</w:t>
            </w:r>
            <w:r w:rsidRPr="00B96AF1">
              <w:rPr>
                <w:rFonts w:ascii="Baskervville" w:hAnsi="Baskervville"/>
              </w:rPr>
              <w:t>ístico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 xml:space="preserve">Género literario </w:t>
            </w:r>
            <w:proofErr w:type="spellStart"/>
            <w:r w:rsidRPr="00B96AF1">
              <w:rPr>
                <w:rFonts w:ascii="Baskervville" w:hAnsi="Baskervville"/>
              </w:rPr>
              <w:t>guión</w:t>
            </w:r>
            <w:proofErr w:type="spellEnd"/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Otro tipo de género literario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Otra producción artística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F920EC">
      <w:pPr>
        <w:pStyle w:val="Ttulo1"/>
      </w:pPr>
      <w:bookmarkStart w:id="12" w:name="_aabxzcw4u7jk" w:colFirst="0" w:colLast="0"/>
      <w:bookmarkEnd w:id="12"/>
      <w:r>
        <w:br w:type="page"/>
      </w:r>
    </w:p>
    <w:p w:rsidR="003C3588" w:rsidRDefault="00F920EC">
      <w:pPr>
        <w:pStyle w:val="Ttulo1"/>
      </w:pPr>
      <w:bookmarkStart w:id="13" w:name="_11ucarlj5kiu" w:colFirst="0" w:colLast="0"/>
      <w:bookmarkEnd w:id="13"/>
      <w:r>
        <w:lastRenderedPageBreak/>
        <w:t>OTROS ANTECEDENTES</w:t>
      </w:r>
    </w:p>
    <w:p w:rsidR="003C3588" w:rsidRDefault="003C3588">
      <w:pPr>
        <w:spacing w:line="240" w:lineRule="auto"/>
      </w:pPr>
    </w:p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3588" w:rsidRPr="00B96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588" w:rsidRPr="00B96AF1" w:rsidRDefault="00F920EC">
            <w:p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Las categorías incluyen: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 xml:space="preserve">Participación u organización de eventos </w:t>
            </w:r>
            <w:proofErr w:type="spellStart"/>
            <w:r w:rsidRPr="00B96AF1">
              <w:rPr>
                <w:rFonts w:ascii="Baskervville" w:hAnsi="Baskervville"/>
              </w:rPr>
              <w:t>CyT</w:t>
            </w:r>
            <w:proofErr w:type="spellEnd"/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Membresías, redes y/o programas de cooperación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Membresías en asociaciones C-T y/o profesionales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Participación en redes temáticas o institucionales</w:t>
            </w:r>
          </w:p>
          <w:p w:rsidR="003C3588" w:rsidRPr="00B96AF1" w:rsidRDefault="00F920EC">
            <w:pPr>
              <w:numPr>
                <w:ilvl w:val="1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Coordinación de proyectos de cooperación académica o C-T</w:t>
            </w:r>
          </w:p>
          <w:p w:rsidR="003C3588" w:rsidRPr="00B96AF1" w:rsidRDefault="00F920EC">
            <w:pPr>
              <w:numPr>
                <w:ilvl w:val="0"/>
                <w:numId w:val="2"/>
              </w:numPr>
              <w:spacing w:before="0" w:line="240" w:lineRule="auto"/>
              <w:rPr>
                <w:rFonts w:ascii="Baskervville" w:hAnsi="Baskervville"/>
              </w:rPr>
            </w:pPr>
            <w:r w:rsidRPr="00B96AF1">
              <w:rPr>
                <w:rFonts w:ascii="Baskervville" w:hAnsi="Baskervville"/>
              </w:rPr>
              <w:t>Premios y/o distinciones</w:t>
            </w:r>
          </w:p>
        </w:tc>
      </w:tr>
    </w:tbl>
    <w:p w:rsidR="003C3588" w:rsidRPr="00B96AF1" w:rsidRDefault="003C3588">
      <w:pPr>
        <w:rPr>
          <w:rFonts w:ascii="Baskervville" w:hAnsi="Baskervville"/>
        </w:rPr>
      </w:pPr>
    </w:p>
    <w:p w:rsidR="003C3588" w:rsidRDefault="003C3588">
      <w:bookmarkStart w:id="14" w:name="_GoBack"/>
      <w:bookmarkEnd w:id="14"/>
    </w:p>
    <w:sectPr w:rsidR="003C3588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EC" w:rsidRDefault="00F920EC">
      <w:pPr>
        <w:spacing w:before="0" w:line="240" w:lineRule="auto"/>
      </w:pPr>
      <w:r>
        <w:separator/>
      </w:r>
    </w:p>
  </w:endnote>
  <w:endnote w:type="continuationSeparator" w:id="0">
    <w:p w:rsidR="00F920EC" w:rsidRDefault="00F920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panose1 w:val="02000506000000020004"/>
    <w:charset w:val="00"/>
    <w:family w:val="auto"/>
    <w:pitch w:val="variable"/>
    <w:sig w:usb0="8000002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ville">
    <w:panose1 w:val="00000000000000000000"/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88" w:rsidRPr="00B96AF1" w:rsidRDefault="00F920EC">
    <w:pPr>
      <w:jc w:val="center"/>
      <w:rPr>
        <w:rFonts w:ascii="Baskervville" w:hAnsi="Baskervville"/>
      </w:rPr>
    </w:pPr>
    <w:r w:rsidRPr="00B96AF1">
      <w:rPr>
        <w:rFonts w:ascii="Baskervville" w:hAnsi="Baskervville"/>
      </w:rPr>
      <w:t>EL PRESENTE DOCUMENTO TIENE EL CARÁCTER DE DECLARACIÓN JURADA</w:t>
    </w:r>
  </w:p>
  <w:p w:rsidR="003C3588" w:rsidRPr="00B96AF1" w:rsidRDefault="00F920EC">
    <w:pPr>
      <w:jc w:val="right"/>
      <w:rPr>
        <w:rFonts w:ascii="Baskervville" w:hAnsi="Baskervville"/>
      </w:rPr>
    </w:pPr>
    <w:r w:rsidRPr="00B96AF1">
      <w:rPr>
        <w:rFonts w:ascii="Baskervville" w:hAnsi="Baskervville"/>
      </w:rPr>
      <w:fldChar w:fldCharType="begin"/>
    </w:r>
    <w:r w:rsidRPr="00B96AF1">
      <w:rPr>
        <w:rFonts w:ascii="Baskervville" w:hAnsi="Baskervville"/>
      </w:rPr>
      <w:instrText>PAGE</w:instrText>
    </w:r>
    <w:r w:rsidR="00E27C92" w:rsidRPr="00B96AF1">
      <w:rPr>
        <w:rFonts w:ascii="Baskervville" w:hAnsi="Baskervville"/>
      </w:rPr>
      <w:fldChar w:fldCharType="separate"/>
    </w:r>
    <w:r w:rsidR="00B96AF1">
      <w:rPr>
        <w:rFonts w:ascii="Baskervville" w:hAnsi="Baskervville"/>
        <w:noProof/>
      </w:rPr>
      <w:t>1</w:t>
    </w:r>
    <w:r w:rsidRPr="00B96AF1">
      <w:rPr>
        <w:rFonts w:ascii="Baskervville" w:hAnsi="Baskervvil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EC" w:rsidRDefault="00F920EC">
      <w:pPr>
        <w:spacing w:before="0" w:line="240" w:lineRule="auto"/>
      </w:pPr>
      <w:r>
        <w:separator/>
      </w:r>
    </w:p>
  </w:footnote>
  <w:footnote w:type="continuationSeparator" w:id="0">
    <w:p w:rsidR="00F920EC" w:rsidRDefault="00F920E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490"/>
    <w:multiLevelType w:val="multilevel"/>
    <w:tmpl w:val="0BBA4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CAC5B7C"/>
    <w:multiLevelType w:val="multilevel"/>
    <w:tmpl w:val="F830F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588"/>
    <w:rsid w:val="003C3588"/>
    <w:rsid w:val="00AC0973"/>
    <w:rsid w:val="00B96AF1"/>
    <w:rsid w:val="00E27C92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" w:eastAsia="Source Code Pro" w:hAnsi="Source Code Pro" w:cs="Source Code Pro"/>
        <w:color w:val="424242"/>
        <w:lang w:val="es" w:eastAsia="ja-JP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20" w:line="240" w:lineRule="auto"/>
      <w:jc w:val="left"/>
      <w:outlineLvl w:val="1"/>
    </w:pPr>
    <w:rPr>
      <w:b/>
      <w:color w:val="E31C6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6AF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AF1"/>
  </w:style>
  <w:style w:type="paragraph" w:styleId="Piedepgina">
    <w:name w:val="footer"/>
    <w:basedOn w:val="Normal"/>
    <w:link w:val="PiedepginaCar"/>
    <w:uiPriority w:val="99"/>
    <w:unhideWhenUsed/>
    <w:rsid w:val="00B96AF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424242"/>
        <w:lang w:val="es" w:eastAsia="ja-JP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20" w:line="240" w:lineRule="auto"/>
      <w:jc w:val="left"/>
      <w:outlineLvl w:val="1"/>
    </w:pPr>
    <w:rPr>
      <w:b/>
      <w:color w:val="E31C6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6AF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AF1"/>
  </w:style>
  <w:style w:type="paragraph" w:styleId="Piedepgina">
    <w:name w:val="footer"/>
    <w:basedOn w:val="Normal"/>
    <w:link w:val="PiedepginaCar"/>
    <w:uiPriority w:val="99"/>
    <w:unhideWhenUsed/>
    <w:rsid w:val="00B96AF1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López Gagliardo</cp:lastModifiedBy>
  <cp:revision>4</cp:revision>
  <dcterms:created xsi:type="dcterms:W3CDTF">2020-03-02T17:47:00Z</dcterms:created>
  <dcterms:modified xsi:type="dcterms:W3CDTF">2020-03-02T17:52:00Z</dcterms:modified>
</cp:coreProperties>
</file>